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D9C1A" w14:textId="2E6FF56A" w:rsidR="00940169" w:rsidRDefault="00C15022" w:rsidP="008625CC">
      <w:pPr>
        <w:jc w:val="both"/>
        <w:rPr>
          <w:rFonts w:ascii="Calibri" w:hAnsi="Calibri" w:cs="Calibri"/>
          <w:b/>
          <w:bCs/>
        </w:rPr>
      </w:pPr>
      <w:r w:rsidRPr="00C15022">
        <w:rPr>
          <w:rFonts w:ascii="Calibri" w:hAnsi="Calibri" w:cs="Calibri"/>
          <w:b/>
          <w:bCs/>
        </w:rPr>
        <w:t>Comparecencia frente a la historia.</w:t>
      </w:r>
    </w:p>
    <w:p w14:paraId="793420BF" w14:textId="260FC7BE" w:rsidR="001A10F8" w:rsidRDefault="00C15022" w:rsidP="008625C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«…Algo más grave que la firme sentencia de culpabilidad en </w:t>
      </w:r>
      <w:r w:rsidR="001A10F8"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cs="Calibri"/>
          <w:sz w:val="22"/>
          <w:szCs w:val="22"/>
        </w:rPr>
        <w:t xml:space="preserve"> juicio, es tener que vivir con los acontecimientos que sucedieron, que fueron inevitables por razones que no se explican…» </w:t>
      </w:r>
      <w:r w:rsidR="002766A8">
        <w:rPr>
          <w:rFonts w:ascii="Calibri" w:hAnsi="Calibri" w:cs="Calibri"/>
          <w:sz w:val="22"/>
          <w:szCs w:val="22"/>
        </w:rPr>
        <w:t>¿Quizás esta frase planeó por la mente del entonces General Dámaso Berenguer Fusté</w:t>
      </w:r>
      <w:r w:rsidR="001A10F8">
        <w:rPr>
          <w:rFonts w:ascii="Calibri" w:hAnsi="Calibri" w:cs="Calibri"/>
          <w:sz w:val="22"/>
          <w:szCs w:val="22"/>
        </w:rPr>
        <w:t xml:space="preserve"> cuándo se preparó para conocer la sentencia que le condenó</w:t>
      </w:r>
      <w:r w:rsidR="002766A8">
        <w:rPr>
          <w:rFonts w:ascii="Calibri" w:hAnsi="Calibri" w:cs="Calibri"/>
          <w:sz w:val="22"/>
          <w:szCs w:val="22"/>
        </w:rPr>
        <w:t xml:space="preserve">? </w:t>
      </w:r>
      <w:r w:rsidR="004E0D5B">
        <w:rPr>
          <w:rFonts w:ascii="Calibri" w:hAnsi="Calibri" w:cs="Calibri"/>
          <w:sz w:val="22"/>
          <w:szCs w:val="22"/>
        </w:rPr>
        <w:t>Nunca lo sabremos, porque nunca lo dijo.</w:t>
      </w:r>
    </w:p>
    <w:p w14:paraId="61DCA8E8" w14:textId="0B904151" w:rsidR="002766A8" w:rsidRDefault="002766A8" w:rsidP="008625C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día </w:t>
      </w:r>
      <w:r w:rsidRPr="002766A8">
        <w:rPr>
          <w:rFonts w:ascii="Calibri" w:hAnsi="Calibri" w:cs="Calibri"/>
          <w:sz w:val="22"/>
          <w:szCs w:val="22"/>
        </w:rPr>
        <w:t>26 de junio de 1924</w:t>
      </w:r>
      <w:r>
        <w:rPr>
          <w:rFonts w:ascii="Calibri" w:hAnsi="Calibri" w:cs="Calibri"/>
          <w:sz w:val="22"/>
          <w:szCs w:val="22"/>
        </w:rPr>
        <w:t xml:space="preserve"> se procedió a la lectura del fallo del tribunal </w:t>
      </w:r>
      <w:r w:rsidR="001A10F8">
        <w:rPr>
          <w:rFonts w:ascii="Calibri" w:hAnsi="Calibri" w:cs="Calibri"/>
          <w:sz w:val="22"/>
          <w:szCs w:val="22"/>
        </w:rPr>
        <w:t xml:space="preserve">de justicia militar, </w:t>
      </w:r>
      <w:r>
        <w:rPr>
          <w:rFonts w:ascii="Calibri" w:hAnsi="Calibri" w:cs="Calibri"/>
          <w:sz w:val="22"/>
          <w:szCs w:val="22"/>
        </w:rPr>
        <w:t>que juzgó al General</w:t>
      </w:r>
      <w:r w:rsidR="001A10F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Dámaso Berenguer, durante la c</w:t>
      </w:r>
      <w:r w:rsidRPr="002766A8">
        <w:rPr>
          <w:rFonts w:ascii="Calibri" w:hAnsi="Calibri" w:cs="Calibri"/>
          <w:sz w:val="22"/>
          <w:szCs w:val="22"/>
        </w:rPr>
        <w:t xml:space="preserve">ausa en única instancia </w:t>
      </w:r>
      <w:r>
        <w:rPr>
          <w:rFonts w:ascii="Calibri" w:hAnsi="Calibri" w:cs="Calibri"/>
          <w:sz w:val="22"/>
          <w:szCs w:val="22"/>
        </w:rPr>
        <w:t xml:space="preserve">que se </w:t>
      </w:r>
      <w:r w:rsidRPr="002766A8">
        <w:rPr>
          <w:rFonts w:ascii="Calibri" w:hAnsi="Calibri" w:cs="Calibri"/>
          <w:sz w:val="22"/>
          <w:szCs w:val="22"/>
        </w:rPr>
        <w:t>instru</w:t>
      </w:r>
      <w:r>
        <w:rPr>
          <w:rFonts w:ascii="Calibri" w:hAnsi="Calibri" w:cs="Calibri"/>
          <w:sz w:val="22"/>
          <w:szCs w:val="22"/>
        </w:rPr>
        <w:t>yó</w:t>
      </w:r>
      <w:r w:rsidRPr="002766A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 el fin de</w:t>
      </w:r>
      <w:r w:rsidRPr="002766A8">
        <w:rPr>
          <w:rFonts w:ascii="Calibri" w:hAnsi="Calibri" w:cs="Calibri"/>
          <w:sz w:val="22"/>
          <w:szCs w:val="22"/>
        </w:rPr>
        <w:t xml:space="preserve"> depurar las responsabilidades en que </w:t>
      </w:r>
      <w:r>
        <w:rPr>
          <w:rFonts w:ascii="Calibri" w:hAnsi="Calibri" w:cs="Calibri"/>
          <w:sz w:val="22"/>
          <w:szCs w:val="22"/>
        </w:rPr>
        <w:t xml:space="preserve">incurrió </w:t>
      </w:r>
      <w:r w:rsidRPr="002766A8">
        <w:rPr>
          <w:rFonts w:ascii="Calibri" w:hAnsi="Calibri" w:cs="Calibri"/>
          <w:sz w:val="22"/>
          <w:szCs w:val="22"/>
        </w:rPr>
        <w:t xml:space="preserve">el Mando con motivo de los sucesos desarrollados en el territorio de la Comandancia General de Melilla </w:t>
      </w:r>
      <w:r>
        <w:rPr>
          <w:rFonts w:ascii="Calibri" w:hAnsi="Calibri" w:cs="Calibri"/>
          <w:sz w:val="22"/>
          <w:szCs w:val="22"/>
        </w:rPr>
        <w:t>durante</w:t>
      </w:r>
      <w:r w:rsidRPr="002766A8">
        <w:rPr>
          <w:rFonts w:ascii="Calibri" w:hAnsi="Calibri" w:cs="Calibri"/>
          <w:sz w:val="22"/>
          <w:szCs w:val="22"/>
        </w:rPr>
        <w:t xml:space="preserve"> los meses de julio y agosto de 1921. </w:t>
      </w:r>
      <w:r w:rsidR="001A10F8">
        <w:rPr>
          <w:rFonts w:ascii="Calibri" w:hAnsi="Calibri" w:cs="Calibri"/>
          <w:sz w:val="22"/>
          <w:szCs w:val="22"/>
        </w:rPr>
        <w:t xml:space="preserve">El General Dámaso Berneguer Fusté fue condenado </w:t>
      </w:r>
      <w:r w:rsidRPr="002766A8">
        <w:rPr>
          <w:rFonts w:ascii="Calibri" w:hAnsi="Calibri" w:cs="Calibri"/>
          <w:sz w:val="22"/>
          <w:szCs w:val="22"/>
        </w:rPr>
        <w:t xml:space="preserve">como </w:t>
      </w:r>
      <w:r w:rsidR="001A10F8" w:rsidRPr="001A10F8">
        <w:rPr>
          <w:rFonts w:ascii="Calibri" w:hAnsi="Calibri" w:cs="Calibri"/>
          <w:i/>
          <w:iCs/>
          <w:sz w:val="22"/>
          <w:szCs w:val="22"/>
        </w:rPr>
        <w:t>«…</w:t>
      </w:r>
      <w:r w:rsidRPr="001A10F8">
        <w:rPr>
          <w:rFonts w:ascii="Calibri" w:hAnsi="Calibri" w:cs="Calibri"/>
          <w:i/>
          <w:iCs/>
          <w:sz w:val="22"/>
          <w:szCs w:val="22"/>
        </w:rPr>
        <w:t xml:space="preserve">responsable del delito militar de negligencia </w:t>
      </w:r>
      <w:r w:rsidR="001A10F8" w:rsidRPr="001A10F8">
        <w:rPr>
          <w:rFonts w:ascii="Calibri" w:hAnsi="Calibri" w:cs="Calibri"/>
          <w:i/>
          <w:iCs/>
          <w:sz w:val="22"/>
          <w:szCs w:val="22"/>
        </w:rPr>
        <w:t xml:space="preserve">en el Mando, </w:t>
      </w:r>
      <w:r w:rsidRPr="001A10F8">
        <w:rPr>
          <w:rFonts w:ascii="Calibri" w:hAnsi="Calibri" w:cs="Calibri"/>
          <w:i/>
          <w:iCs/>
          <w:sz w:val="22"/>
          <w:szCs w:val="22"/>
        </w:rPr>
        <w:t xml:space="preserve">a la pena de “separación del servicio </w:t>
      </w:r>
      <w:r w:rsidR="001A10F8" w:rsidRPr="001A10F8">
        <w:rPr>
          <w:rFonts w:ascii="Calibri" w:hAnsi="Calibri" w:cs="Calibri"/>
          <w:i/>
          <w:iCs/>
          <w:sz w:val="22"/>
          <w:szCs w:val="22"/>
        </w:rPr>
        <w:t>(</w:t>
      </w:r>
      <w:r w:rsidRPr="001A10F8">
        <w:rPr>
          <w:rFonts w:ascii="Calibri" w:hAnsi="Calibri" w:cs="Calibri"/>
          <w:i/>
          <w:iCs/>
          <w:sz w:val="22"/>
          <w:szCs w:val="22"/>
        </w:rPr>
        <w:t>...</w:t>
      </w:r>
      <w:r w:rsidR="001A10F8" w:rsidRPr="001A10F8">
        <w:rPr>
          <w:rFonts w:ascii="Calibri" w:hAnsi="Calibri" w:cs="Calibri"/>
          <w:i/>
          <w:iCs/>
          <w:sz w:val="22"/>
          <w:szCs w:val="22"/>
        </w:rPr>
        <w:t>)</w:t>
      </w:r>
      <w:r w:rsidRPr="001A10F8">
        <w:rPr>
          <w:rFonts w:ascii="Calibri" w:hAnsi="Calibri" w:cs="Calibri"/>
          <w:i/>
          <w:iCs/>
          <w:sz w:val="22"/>
          <w:szCs w:val="22"/>
        </w:rPr>
        <w:t xml:space="preserve"> y el pase a la situación de reserva</w:t>
      </w:r>
      <w:r w:rsidR="001A10F8" w:rsidRPr="001A10F8">
        <w:rPr>
          <w:rFonts w:ascii="Calibri" w:hAnsi="Calibri" w:cs="Calibri"/>
          <w:i/>
          <w:iCs/>
          <w:sz w:val="22"/>
          <w:szCs w:val="22"/>
        </w:rPr>
        <w:t>…»</w:t>
      </w:r>
      <w:r w:rsidRPr="002766A8">
        <w:rPr>
          <w:rFonts w:ascii="Calibri" w:hAnsi="Calibri" w:cs="Calibri"/>
          <w:sz w:val="22"/>
          <w:szCs w:val="22"/>
        </w:rPr>
        <w:t> </w:t>
      </w:r>
      <w:r w:rsidR="001A10F8">
        <w:rPr>
          <w:rFonts w:ascii="Calibri" w:hAnsi="Calibri" w:cs="Calibri"/>
          <w:sz w:val="22"/>
          <w:szCs w:val="22"/>
        </w:rPr>
        <w:t xml:space="preserve"> Posteriormente el directorio militar que gobernaba en España, bajo el mando del General Miguel Primo de Rivera, indultó al General Dámaso Berenguer Fusté </w:t>
      </w:r>
      <w:r w:rsidR="001A10F8" w:rsidRPr="001A10F8">
        <w:rPr>
          <w:rFonts w:ascii="Calibri" w:hAnsi="Calibri" w:cs="Calibri"/>
          <w:sz w:val="22"/>
          <w:szCs w:val="22"/>
        </w:rPr>
        <w:t>por Real Decreto de 4 de julio de 1924</w:t>
      </w:r>
      <w:r w:rsidR="001A10F8">
        <w:rPr>
          <w:rFonts w:ascii="Calibri" w:hAnsi="Calibri" w:cs="Calibri"/>
          <w:sz w:val="22"/>
          <w:szCs w:val="22"/>
        </w:rPr>
        <w:t xml:space="preserve"> firmado por el Rey Alfonso XIII.</w:t>
      </w:r>
    </w:p>
    <w:p w14:paraId="3A0D9AE8" w14:textId="1B8E01A7" w:rsidR="00C15022" w:rsidRDefault="001A10F8" w:rsidP="008625C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="002766A8">
        <w:rPr>
          <w:rFonts w:ascii="Calibri" w:hAnsi="Calibri" w:cs="Calibri"/>
          <w:sz w:val="22"/>
          <w:szCs w:val="22"/>
        </w:rPr>
        <w:t>on el paso del tiempo ha quedado demostrado que</w:t>
      </w:r>
      <w:r>
        <w:rPr>
          <w:rFonts w:ascii="Calibri" w:hAnsi="Calibri" w:cs="Calibri"/>
          <w:sz w:val="22"/>
          <w:szCs w:val="22"/>
        </w:rPr>
        <w:t xml:space="preserve"> el General Dámaso Berenguer Fusté</w:t>
      </w:r>
      <w:r w:rsidR="002766A8">
        <w:rPr>
          <w:rFonts w:ascii="Calibri" w:hAnsi="Calibri" w:cs="Calibri"/>
          <w:sz w:val="22"/>
          <w:szCs w:val="22"/>
        </w:rPr>
        <w:t xml:space="preserve"> no mintió </w:t>
      </w:r>
      <w:r>
        <w:rPr>
          <w:rFonts w:ascii="Calibri" w:hAnsi="Calibri" w:cs="Calibri"/>
          <w:sz w:val="22"/>
          <w:szCs w:val="22"/>
        </w:rPr>
        <w:t xml:space="preserve">en las sesiones del Tribunal Militar </w:t>
      </w:r>
      <w:r w:rsidR="002766A8">
        <w:rPr>
          <w:rFonts w:ascii="Calibri" w:hAnsi="Calibri" w:cs="Calibri"/>
          <w:sz w:val="22"/>
          <w:szCs w:val="22"/>
        </w:rPr>
        <w:t>cuando declaró, pero omitió muchos detalles de las operaciones y se escudó en subordinados y en funcionarios de otros negociados con el fin de omitir responsabilidad alguna. Así fue</w:t>
      </w:r>
      <w:r>
        <w:rPr>
          <w:rFonts w:ascii="Calibri" w:hAnsi="Calibri" w:cs="Calibri"/>
          <w:sz w:val="22"/>
          <w:szCs w:val="22"/>
        </w:rPr>
        <w:t xml:space="preserve">, ocultó información que posteriormente a su muerte afloró por las declaraciones de otros oficiales, que fueron omitidas durante su juicio. </w:t>
      </w:r>
    </w:p>
    <w:p w14:paraId="0EF30C50" w14:textId="56A61252" w:rsidR="00C15022" w:rsidRDefault="001A10F8" w:rsidP="008625C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cómo sobrevivieron todos estos personajes, sin condena alguna, fue porque en </w:t>
      </w:r>
      <w:r w:rsidR="00C15022">
        <w:rPr>
          <w:rFonts w:ascii="Calibri" w:hAnsi="Calibri" w:cs="Calibri"/>
          <w:sz w:val="22"/>
          <w:szCs w:val="22"/>
        </w:rPr>
        <w:t xml:space="preserve">España a comienzos del siglo XX </w:t>
      </w:r>
      <w:r>
        <w:rPr>
          <w:rFonts w:ascii="Calibri" w:hAnsi="Calibri" w:cs="Calibri"/>
          <w:sz w:val="22"/>
          <w:szCs w:val="22"/>
        </w:rPr>
        <w:t xml:space="preserve">la </w:t>
      </w:r>
      <w:r w:rsidR="00C15022">
        <w:rPr>
          <w:rFonts w:ascii="Calibri" w:hAnsi="Calibri" w:cs="Calibri"/>
          <w:sz w:val="22"/>
          <w:szCs w:val="22"/>
        </w:rPr>
        <w:t xml:space="preserve">sociedad </w:t>
      </w:r>
      <w:r>
        <w:rPr>
          <w:rFonts w:ascii="Calibri" w:hAnsi="Calibri" w:cs="Calibri"/>
          <w:sz w:val="22"/>
          <w:szCs w:val="22"/>
        </w:rPr>
        <w:t>española ostentó</w:t>
      </w:r>
      <w:r w:rsidR="00C15022">
        <w:rPr>
          <w:rFonts w:ascii="Calibri" w:hAnsi="Calibri" w:cs="Calibri"/>
          <w:sz w:val="22"/>
          <w:szCs w:val="22"/>
        </w:rPr>
        <w:t xml:space="preserve"> más de un 34% de</w:t>
      </w:r>
      <w:r>
        <w:rPr>
          <w:rFonts w:ascii="Calibri" w:hAnsi="Calibri" w:cs="Calibri"/>
          <w:sz w:val="22"/>
          <w:szCs w:val="22"/>
        </w:rPr>
        <w:t xml:space="preserve"> </w:t>
      </w:r>
      <w:r w:rsidR="00C15022">
        <w:rPr>
          <w:rFonts w:ascii="Calibri" w:hAnsi="Calibri" w:cs="Calibri"/>
          <w:sz w:val="22"/>
          <w:szCs w:val="22"/>
        </w:rPr>
        <w:t>analfabet</w:t>
      </w:r>
      <w:r>
        <w:rPr>
          <w:rFonts w:ascii="Calibri" w:hAnsi="Calibri" w:cs="Calibri"/>
          <w:sz w:val="22"/>
          <w:szCs w:val="22"/>
        </w:rPr>
        <w:t>ismo en el seno de la población adulta, siendo</w:t>
      </w:r>
      <w:r w:rsidR="00C15022">
        <w:rPr>
          <w:rFonts w:ascii="Calibri" w:hAnsi="Calibri" w:cs="Calibri"/>
          <w:sz w:val="22"/>
          <w:szCs w:val="22"/>
        </w:rPr>
        <w:t xml:space="preserve"> más de 60% de la población </w:t>
      </w:r>
      <w:r>
        <w:rPr>
          <w:rFonts w:ascii="Calibri" w:hAnsi="Calibri" w:cs="Calibri"/>
          <w:sz w:val="22"/>
          <w:szCs w:val="22"/>
        </w:rPr>
        <w:t xml:space="preserve">residente </w:t>
      </w:r>
      <w:r w:rsidR="00C15022">
        <w:rPr>
          <w:rFonts w:ascii="Calibri" w:hAnsi="Calibri" w:cs="Calibri"/>
          <w:sz w:val="22"/>
          <w:szCs w:val="22"/>
        </w:rPr>
        <w:t xml:space="preserve">en el ámbito rural. </w:t>
      </w:r>
      <w:r w:rsidR="002766A8">
        <w:rPr>
          <w:rFonts w:ascii="Calibri" w:hAnsi="Calibri" w:cs="Calibri"/>
          <w:sz w:val="22"/>
          <w:szCs w:val="22"/>
        </w:rPr>
        <w:t>Con este nivel cultural,  p</w:t>
      </w:r>
      <w:r w:rsidR="00C15022">
        <w:rPr>
          <w:rFonts w:ascii="Calibri" w:hAnsi="Calibri" w:cs="Calibri"/>
          <w:sz w:val="22"/>
          <w:szCs w:val="22"/>
        </w:rPr>
        <w:t xml:space="preserve">ersonajes influyentes de la época, políticos, empresarios y militares </w:t>
      </w:r>
      <w:r w:rsidR="008625CC">
        <w:rPr>
          <w:rFonts w:ascii="Calibri" w:hAnsi="Calibri" w:cs="Calibri"/>
          <w:sz w:val="22"/>
          <w:szCs w:val="22"/>
        </w:rPr>
        <w:t>exp</w:t>
      </w:r>
      <w:r w:rsidR="002766A8">
        <w:rPr>
          <w:rFonts w:ascii="Calibri" w:hAnsi="Calibri" w:cs="Calibri"/>
          <w:sz w:val="22"/>
          <w:szCs w:val="22"/>
        </w:rPr>
        <w:t>usieron «sus</w:t>
      </w:r>
      <w:r w:rsidR="008625CC">
        <w:rPr>
          <w:rFonts w:ascii="Calibri" w:hAnsi="Calibri" w:cs="Calibri"/>
          <w:sz w:val="22"/>
          <w:szCs w:val="22"/>
        </w:rPr>
        <w:t xml:space="preserve"> razones</w:t>
      </w:r>
      <w:r w:rsidR="002766A8">
        <w:rPr>
          <w:rFonts w:ascii="Calibri" w:hAnsi="Calibri" w:cs="Calibri"/>
          <w:sz w:val="22"/>
          <w:szCs w:val="22"/>
        </w:rPr>
        <w:t>»</w:t>
      </w:r>
      <w:r w:rsidR="008625CC">
        <w:rPr>
          <w:rFonts w:ascii="Calibri" w:hAnsi="Calibri" w:cs="Calibri"/>
          <w:sz w:val="22"/>
          <w:szCs w:val="22"/>
        </w:rPr>
        <w:t xml:space="preserve"> del desastre</w:t>
      </w:r>
      <w:r w:rsidR="002766A8">
        <w:rPr>
          <w:rFonts w:ascii="Calibri" w:hAnsi="Calibri" w:cs="Calibri"/>
          <w:sz w:val="22"/>
          <w:szCs w:val="22"/>
        </w:rPr>
        <w:t xml:space="preserve"> de Annual</w:t>
      </w:r>
      <w:r w:rsidR="008625CC">
        <w:rPr>
          <w:rFonts w:ascii="Calibri" w:hAnsi="Calibri" w:cs="Calibri"/>
          <w:sz w:val="22"/>
          <w:szCs w:val="22"/>
        </w:rPr>
        <w:t>, sin proporcionar explicación alguna. Exp</w:t>
      </w:r>
      <w:r w:rsidR="002766A8">
        <w:rPr>
          <w:rFonts w:ascii="Calibri" w:hAnsi="Calibri" w:cs="Calibri"/>
          <w:sz w:val="22"/>
          <w:szCs w:val="22"/>
        </w:rPr>
        <w:t>usieron</w:t>
      </w:r>
      <w:r w:rsidR="008625CC">
        <w:rPr>
          <w:rFonts w:ascii="Calibri" w:hAnsi="Calibri" w:cs="Calibri"/>
          <w:sz w:val="22"/>
          <w:szCs w:val="22"/>
        </w:rPr>
        <w:t xml:space="preserve"> motivos, causas, pero nunca llegaron a explicar qué fue lo que verdaderamente condujo a la conjunción de todos aquellos motivos, </w:t>
      </w:r>
      <w:r w:rsidR="002766A8">
        <w:rPr>
          <w:rFonts w:ascii="Calibri" w:hAnsi="Calibri" w:cs="Calibri"/>
          <w:sz w:val="22"/>
          <w:szCs w:val="22"/>
        </w:rPr>
        <w:t xml:space="preserve">y quienes fueron las personas que, con sus decisiones, debieron de haber asumido las responsabilidades de haber </w:t>
      </w:r>
      <w:r w:rsidR="008625CC">
        <w:rPr>
          <w:rFonts w:ascii="Calibri" w:hAnsi="Calibri" w:cs="Calibri"/>
          <w:sz w:val="22"/>
          <w:szCs w:val="22"/>
        </w:rPr>
        <w:t>ocasionado el mayor desastre militar que se recordaba en los anales de la historia moderna y militar de España.</w:t>
      </w:r>
    </w:p>
    <w:p w14:paraId="5E6A999E" w14:textId="36FC7A78" w:rsidR="00C15022" w:rsidRPr="00C15022" w:rsidRDefault="00C15022" w:rsidP="008625C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¿Cómo lo hacen? ¿Tan elevada es la responsabilidad y el impacto en la nación que ha de prevalecer sólo el interés de unos pocos para que muchos continúen sin conocer qué sucedió verdaderamente?</w:t>
      </w:r>
    </w:p>
    <w:sectPr w:rsidR="00C15022" w:rsidRPr="00C15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22"/>
    <w:rsid w:val="0005695A"/>
    <w:rsid w:val="00186C0B"/>
    <w:rsid w:val="001A10F8"/>
    <w:rsid w:val="002766A8"/>
    <w:rsid w:val="00336E95"/>
    <w:rsid w:val="004E0D5B"/>
    <w:rsid w:val="0082212F"/>
    <w:rsid w:val="008625CC"/>
    <w:rsid w:val="00940169"/>
    <w:rsid w:val="009746DB"/>
    <w:rsid w:val="00C1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8048"/>
  <w15:chartTrackingRefBased/>
  <w15:docId w15:val="{173CFEA0-EE1B-4A9D-9CA8-94F2E301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5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5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5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5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5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5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5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5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5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5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5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5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50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50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50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50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50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50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5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5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5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5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5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50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50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50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5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50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502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766A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76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2026-08-12T15:44:00Z</dcterms:created>
  <dcterms:modified xsi:type="dcterms:W3CDTF">2026-08-19T18:12:00Z</dcterms:modified>
</cp:coreProperties>
</file>